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D87666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03431667" w14:textId="48D1FA42" w:rsidR="00622822" w:rsidRPr="00C75AAB" w:rsidRDefault="00622822" w:rsidP="00622822">
      <w:pPr>
        <w:spacing w:before="240"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C75AAB">
        <w:rPr>
          <w:rFonts w:asciiTheme="minorHAnsi" w:hAnsiTheme="minorHAnsi" w:cstheme="minorHAnsi"/>
          <w:b/>
          <w:bCs/>
          <w:sz w:val="24"/>
          <w:szCs w:val="24"/>
        </w:rPr>
        <w:t xml:space="preserve">RESOLUÇÃO </w:t>
      </w:r>
      <w:r>
        <w:rPr>
          <w:rFonts w:asciiTheme="minorHAnsi" w:hAnsiTheme="minorHAnsi" w:cstheme="minorHAnsi"/>
          <w:b/>
          <w:bCs/>
          <w:sz w:val="24"/>
          <w:szCs w:val="24"/>
        </w:rPr>
        <w:t>Nº 016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/2023</w:t>
      </w:r>
    </w:p>
    <w:p w14:paraId="3FBF1DBF" w14:textId="77777777" w:rsidR="00622822" w:rsidRPr="00C75AAB" w:rsidRDefault="00622822" w:rsidP="00622822">
      <w:pPr>
        <w:spacing w:before="240" w:line="276" w:lineRule="auto"/>
        <w:ind w:left="45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Dispõe sobre a liquidação de despesas e regulamenta o art. 146 da Lei Federal nº 14.133/2021, no âmbito do Poder Legislativo de Nova Guarita e dá outras providências. </w:t>
      </w:r>
    </w:p>
    <w:p w14:paraId="21E5084D" w14:textId="77777777" w:rsidR="00622822" w:rsidRPr="00C75AAB" w:rsidRDefault="00622822" w:rsidP="00622822">
      <w:pPr>
        <w:spacing w:before="240" w:line="276" w:lineRule="auto"/>
        <w:ind w:left="4542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p w14:paraId="6A7C2944" w14:textId="3A7A9CC7" w:rsidR="00622822" w:rsidRDefault="00622822" w:rsidP="00622822">
      <w:pPr>
        <w:spacing w:before="120" w:after="120" w:line="276" w:lineRule="auto"/>
        <w:ind w:firstLine="851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DIVINO PEREIRA GOMES</w:t>
      </w:r>
      <w:r w:rsidRPr="00C75AAB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, PRESIDENTE DA CÂMARA MUNICIPAL DE NOVA GUARITA</w:t>
      </w: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, Estado de Mato Grosso, no uso das atribuições que lhe são conferidas pelo Regimento Interno desta Casa Legislativa e, ainda,</w:t>
      </w:r>
    </w:p>
    <w:p w14:paraId="0CDD603A" w14:textId="749E449A" w:rsidR="00622822" w:rsidRPr="00622822" w:rsidRDefault="00622822" w:rsidP="00622822">
      <w:pPr>
        <w:spacing w:before="120" w:after="120" w:line="276" w:lineRule="auto"/>
        <w:ind w:firstLine="851"/>
        <w:jc w:val="both"/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color w:val="000000"/>
          <w:sz w:val="24"/>
          <w:szCs w:val="24"/>
          <w:lang w:eastAsia="en-US"/>
        </w:rPr>
        <w:t>RESOLVE:</w:t>
      </w:r>
    </w:p>
    <w:p w14:paraId="384817DB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CONSIDERANDO o disposto na Lei nº 4.320, de 17 de março de 1964, que estatui normas gerais de direito financeiro para elaboração e controle dos orçamentos e balanços da União, dos Estados, dos Municípios e do Distrito Federal;</w:t>
      </w:r>
    </w:p>
    <w:p w14:paraId="40C7F397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CONSIDERANDO a necessidade de transmitir segurança jurídica aos Agentes Públicos e a todos os demais envolvidos no processo de licitações e contratos do Poder Legislativo de </w:t>
      </w: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Nova Guarita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>,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ab/>
      </w:r>
    </w:p>
    <w:p w14:paraId="51D8C930" w14:textId="77777777" w:rsidR="00622822" w:rsidRPr="00C75AAB" w:rsidRDefault="00622822" w:rsidP="00622822">
      <w:pPr>
        <w:spacing w:before="240" w:after="240" w:line="276" w:lineRule="auto"/>
        <w:ind w:firstLine="851"/>
        <w:jc w:val="both"/>
        <w:rPr>
          <w:rFonts w:asciiTheme="minorHAnsi" w:hAnsiTheme="minorHAnsi" w:cstheme="minorHAnsi"/>
          <w:sz w:val="24"/>
          <w:szCs w:val="24"/>
        </w:rPr>
      </w:pPr>
      <w:proofErr w:type="gramStart"/>
      <w:r w:rsidRPr="00C75AAB">
        <w:rPr>
          <w:rFonts w:asciiTheme="minorHAnsi" w:hAnsiTheme="minorHAnsi" w:cstheme="minorHAnsi"/>
          <w:sz w:val="24"/>
          <w:szCs w:val="24"/>
        </w:rPr>
        <w:t>faz</w:t>
      </w:r>
      <w:proofErr w:type="gramEnd"/>
      <w:r w:rsidRPr="00C75AAB">
        <w:rPr>
          <w:rFonts w:asciiTheme="minorHAnsi" w:hAnsiTheme="minorHAnsi" w:cstheme="minorHAnsi"/>
          <w:sz w:val="24"/>
          <w:szCs w:val="24"/>
        </w:rPr>
        <w:t xml:space="preserve"> saber que a Câmara Municipal aprovou e, assim, promulga a seguinte</w:t>
      </w:r>
    </w:p>
    <w:p w14:paraId="04AB0E68" w14:textId="77777777" w:rsidR="00622822" w:rsidRPr="00C75AAB" w:rsidRDefault="00622822" w:rsidP="00622822">
      <w:pPr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C75AAB">
        <w:rPr>
          <w:rFonts w:asciiTheme="minorHAnsi" w:hAnsiTheme="minorHAnsi" w:cstheme="minorHAnsi"/>
          <w:sz w:val="24"/>
          <w:szCs w:val="24"/>
        </w:rPr>
        <w:t xml:space="preserve"> 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RESOLUÇÃO:</w:t>
      </w:r>
    </w:p>
    <w:p w14:paraId="315468B3" w14:textId="77777777" w:rsidR="00622822" w:rsidRPr="00C75AAB" w:rsidRDefault="00622822" w:rsidP="00622822">
      <w:pPr>
        <w:ind w:firstLine="851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E41685B" w14:textId="77777777" w:rsidR="00622822" w:rsidRPr="00C75AAB" w:rsidRDefault="00622822" w:rsidP="00622822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</w:t>
      </w:r>
      <w:r w:rsidRPr="00C75AAB">
        <w:rPr>
          <w:rFonts w:asciiTheme="minorHAnsi" w:hAnsiTheme="minorHAnsi" w:cstheme="minorHAnsi"/>
          <w:b/>
          <w:lang w:val="pt-BR"/>
        </w:rPr>
        <w:br/>
        <w:t>DAS DISPOSIÇÕES PRELIMINARES</w:t>
      </w:r>
    </w:p>
    <w:p w14:paraId="7E4D2FEA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 xml:space="preserve">Objeto </w:t>
      </w:r>
    </w:p>
    <w:p w14:paraId="7234216F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 1º Esta Resolução visa regulamentar a liquidação de despesas nas contratações efetivadas de acordo com a Lei Federal nº 14.133/2021, no âmbito Poder Legislativo de </w:t>
      </w:r>
      <w:r w:rsidRPr="00C75AAB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Nova Guarita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– MT. </w:t>
      </w:r>
    </w:p>
    <w:p w14:paraId="54F3A239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lastRenderedPageBreak/>
        <w:t>Estágios da despesa</w:t>
      </w:r>
    </w:p>
    <w:p w14:paraId="21A34B23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2º A realização da despesa sujeita-se aos estágios de empenho, liquidação e pagamento.</w:t>
      </w:r>
    </w:p>
    <w:p w14:paraId="10863CCF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§ 1º É vedada a realização de despesa sem prévio empenho.</w:t>
      </w:r>
    </w:p>
    <w:p w14:paraId="08D7826E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§ 2º O pagamento da despesa só será efetuado quando ordenado após sua regular liquidação.</w:t>
      </w:r>
    </w:p>
    <w:p w14:paraId="4EB37666" w14:textId="77777777" w:rsidR="00622822" w:rsidRPr="00C75AAB" w:rsidRDefault="00622822" w:rsidP="00622822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II</w:t>
      </w:r>
      <w:r w:rsidRPr="00C75AAB">
        <w:rPr>
          <w:rFonts w:asciiTheme="minorHAnsi" w:hAnsiTheme="minorHAnsi" w:cstheme="minorHAnsi"/>
          <w:b/>
          <w:lang w:val="pt-BR"/>
        </w:rPr>
        <w:br/>
        <w:t>LIQUIDAÇÃO DE DESPESAS</w:t>
      </w:r>
    </w:p>
    <w:p w14:paraId="55D208FC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Definições</w:t>
      </w:r>
    </w:p>
    <w:p w14:paraId="75AF94E5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3º A liquidação da despesa consiste na verificação do direito adquirido pelo credor tendo por base os títulos e documentos comprobatórios do respectivo crédito.</w:t>
      </w:r>
    </w:p>
    <w:p w14:paraId="6BEFFDDD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4º A liquidação da despesa será processada após a entrega do material ou a efetiva prestação do serviço, salvo os casos que independerem de implemento de condição.</w:t>
      </w:r>
    </w:p>
    <w:p w14:paraId="70EAFE0B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 5º A liquidação da despesa por fornecimento de bens ou serviços prestados terá por base: </w:t>
      </w:r>
    </w:p>
    <w:p w14:paraId="0220E875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o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contrato, o ajuste ou o acordo respectivo; </w:t>
      </w:r>
    </w:p>
    <w:p w14:paraId="438278BE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a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nota de empenho; e </w:t>
      </w:r>
    </w:p>
    <w:p w14:paraId="7F5ED941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III - os comprovantes da entrega de material ou da prestação efetiva do serviço.</w:t>
      </w:r>
    </w:p>
    <w:p w14:paraId="74C18759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6º No ato de liquidação da despesa, o serviço de contabilidade comunicará aos órgãos da administração tributária as características da despesa e os valores pagos, conforme o disposto no art. 63 da Lei nº 4.320, de 17 de março de 1964.</w:t>
      </w:r>
    </w:p>
    <w:p w14:paraId="3F726189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Procedimentos</w:t>
      </w:r>
    </w:p>
    <w:p w14:paraId="22149685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 7º Toda despesa será liquidada mediante exame prévio de sua legalidade, com base nos documentos comprobatórios exigidos em legislação específica e emissão da respectiva Nota de Liquidação. </w:t>
      </w:r>
    </w:p>
    <w:p w14:paraId="0ADF2651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lastRenderedPageBreak/>
        <w:t>Parágrafo único. Como comprovantes de despesa serão aceitas as primeiras vias de Nota Fiscal e o Documento Auxiliar da NF-e 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Danfe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) ou documento equivalente, acompanhada do formulário de liquidação de despesas constante do Anexo, preenchido, data e assinado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pelo(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>s) Fiscal(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is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>) de Contrato responsável(</w:t>
      </w:r>
      <w:proofErr w:type="spellStart"/>
      <w:r w:rsidRPr="00C75AAB">
        <w:rPr>
          <w:rFonts w:asciiTheme="minorHAnsi" w:eastAsia="Century Gothic" w:hAnsiTheme="minorHAnsi" w:cstheme="minorHAnsi"/>
          <w:sz w:val="24"/>
          <w:szCs w:val="24"/>
        </w:rPr>
        <w:t>is</w:t>
      </w:r>
      <w:proofErr w:type="spellEnd"/>
      <w:r w:rsidRPr="00C75AAB">
        <w:rPr>
          <w:rFonts w:asciiTheme="minorHAnsi" w:eastAsia="Century Gothic" w:hAnsiTheme="minorHAnsi" w:cstheme="minorHAnsi"/>
          <w:sz w:val="24"/>
          <w:szCs w:val="24"/>
        </w:rPr>
        <w:t>) pelo recebimento dos materiais, bens ou serviços solicitados, declarando que os mesmos foram recebidos ou efetuados em condições satisfatórias para o serviço público municipal.</w:t>
      </w:r>
    </w:p>
    <w:p w14:paraId="2DCD952B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 8º É vedada a utilização de um único processo de liquidação e pagamento para credores distintos, ainda que se trate do mesmo objeto, bem como a reutilização de um processo de empenho de despesa em novos procedimentos licitatórios.</w:t>
      </w:r>
    </w:p>
    <w:p w14:paraId="42E05EC0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Competência</w:t>
      </w:r>
    </w:p>
    <w:p w14:paraId="349FB435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 9º Compete ao </w:t>
      </w:r>
      <w:r w:rsidRPr="00C75AAB">
        <w:rPr>
          <w:rFonts w:asciiTheme="minorHAnsi" w:eastAsia="Century Gothic" w:hAnsiTheme="minorHAnsi" w:cstheme="minorHAnsi"/>
          <w:sz w:val="24"/>
          <w:szCs w:val="24"/>
          <w:highlight w:val="cyan"/>
        </w:rPr>
        <w:t>Coordenador Contábil-Financeiro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>:</w:t>
      </w:r>
    </w:p>
    <w:p w14:paraId="6DD12187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verificar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o cumprimento das rotinas e procedimentos estabelecidos para o exame dos processos de despesas;</w:t>
      </w:r>
    </w:p>
    <w:p w14:paraId="0B0034CD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II - </w:t>
      </w:r>
      <w:proofErr w:type="gramStart"/>
      <w:r w:rsidRPr="00C75AAB">
        <w:rPr>
          <w:rFonts w:asciiTheme="minorHAnsi" w:eastAsia="Century Gothic" w:hAnsiTheme="minorHAnsi" w:cstheme="minorHAnsi"/>
          <w:sz w:val="24"/>
          <w:szCs w:val="24"/>
        </w:rPr>
        <w:t>dar</w:t>
      </w:r>
      <w:proofErr w:type="gramEnd"/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ciência aos responsáveis, quando necessário, de possíveis falhas no processo de despesas, com vistas ao respectivo saneamento;</w:t>
      </w:r>
    </w:p>
    <w:p w14:paraId="21F66096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III - homologar a liquidação do processo de despesas, se verificado o adequado implemento da despesa.</w:t>
      </w:r>
    </w:p>
    <w:p w14:paraId="03E4123E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Parágrafo único. As contratações efetivadas pela Lei Federal nº 14.133, de 2021, não serão pagas sem a devida homologação da liquidação.</w:t>
      </w:r>
    </w:p>
    <w:p w14:paraId="5F9C8D64" w14:textId="77777777" w:rsidR="00622822" w:rsidRPr="00C75AAB" w:rsidRDefault="00622822" w:rsidP="00622822">
      <w:pPr>
        <w:pStyle w:val="aPARGRAFO12pt"/>
        <w:spacing w:line="276" w:lineRule="auto"/>
        <w:ind w:firstLine="0"/>
        <w:jc w:val="center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CAPÍTULO III</w:t>
      </w:r>
      <w:r w:rsidRPr="00C75AAB">
        <w:rPr>
          <w:rFonts w:asciiTheme="minorHAnsi" w:hAnsiTheme="minorHAnsi" w:cstheme="minorHAnsi"/>
          <w:b/>
          <w:lang w:val="pt-BR"/>
        </w:rPr>
        <w:br/>
        <w:t>DAS DISPOSIÇÕES FINAIS</w:t>
      </w:r>
    </w:p>
    <w:p w14:paraId="13E9305D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Omissão</w:t>
      </w:r>
    </w:p>
    <w:p w14:paraId="73F11D00" w14:textId="77777777" w:rsidR="00622822" w:rsidRPr="00C75AAB" w:rsidRDefault="00622822" w:rsidP="00622822">
      <w:pPr>
        <w:spacing w:before="24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Art. 10. Os casos omissos serão resolvidos pelo </w:t>
      </w:r>
      <w:r w:rsidRPr="00C75AAB">
        <w:rPr>
          <w:rFonts w:asciiTheme="minorHAnsi" w:eastAsia="Century Gothic" w:hAnsiTheme="minorHAnsi" w:cstheme="minorHAnsi"/>
          <w:sz w:val="24"/>
          <w:szCs w:val="24"/>
          <w:highlight w:val="cyan"/>
        </w:rPr>
        <w:t>Coordenador Contábil-Financeiro, que poderá editar normas complementares a esta Resolução.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</w:t>
      </w:r>
    </w:p>
    <w:p w14:paraId="03F27234" w14:textId="77777777" w:rsidR="00622822" w:rsidRPr="00C75AAB" w:rsidRDefault="00622822" w:rsidP="00622822">
      <w:pPr>
        <w:pStyle w:val="aPARGRAFO12pt"/>
        <w:spacing w:line="276" w:lineRule="auto"/>
        <w:ind w:firstLine="0"/>
        <w:jc w:val="left"/>
        <w:rPr>
          <w:rFonts w:asciiTheme="minorHAnsi" w:hAnsiTheme="minorHAnsi" w:cstheme="minorHAnsi"/>
          <w:b/>
          <w:lang w:val="pt-BR"/>
        </w:rPr>
      </w:pPr>
      <w:r w:rsidRPr="00C75AAB">
        <w:rPr>
          <w:rFonts w:asciiTheme="minorHAnsi" w:hAnsiTheme="minorHAnsi" w:cstheme="minorHAnsi"/>
          <w:b/>
          <w:lang w:val="pt-BR"/>
        </w:rPr>
        <w:t>Vigência</w:t>
      </w:r>
    </w:p>
    <w:p w14:paraId="0713E945" w14:textId="77777777" w:rsidR="00622822" w:rsidRPr="00C75AAB" w:rsidRDefault="00622822" w:rsidP="00622822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t>Art. 11. Esta Resolução entra em vigor na data de sua publicação.</w:t>
      </w:r>
    </w:p>
    <w:p w14:paraId="21E8AE45" w14:textId="462CAD65" w:rsidR="00622822" w:rsidRPr="00C75AAB" w:rsidRDefault="00622822" w:rsidP="00622822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  <w:r w:rsidRPr="00C75AAB">
        <w:rPr>
          <w:rFonts w:asciiTheme="minorHAnsi" w:eastAsia="Century Gothic" w:hAnsiTheme="minorHAnsi" w:cstheme="minorHAnsi"/>
          <w:sz w:val="24"/>
          <w:szCs w:val="24"/>
        </w:rPr>
        <w:lastRenderedPageBreak/>
        <w:t>Gabinete</w:t>
      </w:r>
      <w:r>
        <w:rPr>
          <w:rFonts w:asciiTheme="minorHAnsi" w:eastAsia="Century Gothic" w:hAnsiTheme="minorHAnsi" w:cstheme="minorHAnsi"/>
          <w:sz w:val="24"/>
          <w:szCs w:val="24"/>
        </w:rPr>
        <w:t xml:space="preserve"> da Presidência, aos vinte dias do mês de dezembro</w:t>
      </w:r>
      <w:r w:rsidRPr="00C75AAB">
        <w:rPr>
          <w:rFonts w:asciiTheme="minorHAnsi" w:eastAsia="Century Gothic" w:hAnsiTheme="minorHAnsi" w:cstheme="minorHAnsi"/>
          <w:sz w:val="24"/>
          <w:szCs w:val="24"/>
        </w:rPr>
        <w:t xml:space="preserve"> do ano de dois mil e vinte e três.</w:t>
      </w:r>
    </w:p>
    <w:p w14:paraId="76725B5D" w14:textId="77777777" w:rsidR="00622822" w:rsidRPr="00C75AAB" w:rsidRDefault="00622822" w:rsidP="00622822">
      <w:pPr>
        <w:spacing w:before="120" w:after="120" w:line="276" w:lineRule="auto"/>
        <w:ind w:firstLine="851"/>
        <w:jc w:val="both"/>
        <w:rPr>
          <w:rFonts w:asciiTheme="minorHAnsi" w:eastAsia="Century Gothic" w:hAnsiTheme="minorHAnsi" w:cstheme="minorHAnsi"/>
          <w:sz w:val="24"/>
          <w:szCs w:val="24"/>
        </w:rPr>
      </w:pPr>
    </w:p>
    <w:p w14:paraId="1C27F7DF" w14:textId="77777777" w:rsidR="00622822" w:rsidRPr="00C75AAB" w:rsidRDefault="00622822" w:rsidP="00622822">
      <w:pPr>
        <w:pStyle w:val="SemEspaamento"/>
        <w:jc w:val="both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                                                   </w:t>
      </w:r>
    </w:p>
    <w:p w14:paraId="445CEDDE" w14:textId="59BCDCA6" w:rsidR="00622822" w:rsidRPr="00C75AAB" w:rsidRDefault="00622822" w:rsidP="0062282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 PRESIDENTE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3C1E3EE8" w14:textId="77777777" w:rsidR="00622822" w:rsidRPr="00C75AAB" w:rsidRDefault="00622822" w:rsidP="0062282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6F601B47" w14:textId="77777777" w:rsidR="00622822" w:rsidRPr="00C75AAB" w:rsidRDefault="00622822" w:rsidP="00622822">
      <w:pPr>
        <w:pStyle w:val="SemEspaamento"/>
        <w:jc w:val="both"/>
        <w:rPr>
          <w:rFonts w:cstheme="minorHAnsi"/>
          <w:sz w:val="24"/>
          <w:szCs w:val="24"/>
        </w:rPr>
      </w:pPr>
    </w:p>
    <w:p w14:paraId="55035A31" w14:textId="2C8BCCD3" w:rsidR="00622822" w:rsidRPr="00C75AAB" w:rsidRDefault="00622822" w:rsidP="00622822">
      <w:pPr>
        <w:pStyle w:val="SemEspaamento"/>
        <w:jc w:val="center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DIVINO PEREIRA GOMES                                </w:t>
      </w:r>
      <w:r>
        <w:rPr>
          <w:rFonts w:cstheme="minorHAnsi"/>
          <w:sz w:val="24"/>
          <w:szCs w:val="24"/>
        </w:rPr>
        <w:t xml:space="preserve">                          </w:t>
      </w:r>
    </w:p>
    <w:p w14:paraId="7CA7FD1D" w14:textId="368525EB" w:rsidR="00622822" w:rsidRPr="00C75AAB" w:rsidRDefault="00622822" w:rsidP="00622822">
      <w:pPr>
        <w:pStyle w:val="SemEspaamento"/>
        <w:jc w:val="center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Presidente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    </w:t>
      </w:r>
    </w:p>
    <w:p w14:paraId="53A63047" w14:textId="77777777" w:rsidR="00622822" w:rsidRPr="00C75AAB" w:rsidRDefault="00622822" w:rsidP="0062282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2996FF9E" w14:textId="77777777" w:rsidR="00622822" w:rsidRPr="00C75AAB" w:rsidRDefault="00622822" w:rsidP="00622822">
      <w:pPr>
        <w:pStyle w:val="SemEspaamento"/>
        <w:jc w:val="center"/>
        <w:rPr>
          <w:rFonts w:cstheme="minorHAnsi"/>
          <w:sz w:val="24"/>
          <w:szCs w:val="24"/>
        </w:rPr>
      </w:pPr>
    </w:p>
    <w:p w14:paraId="3A326684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A93A587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4D420223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7858C73D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0E056CA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396E3EF4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5571D9A0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BB6C344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7D6DD001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78D1C16D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21F67799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756EBF2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2CA661B5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eastAsia="Century Gothic" w:hAnsiTheme="minorHAnsi" w:cstheme="minorHAnsi"/>
          <w:b/>
          <w:bCs/>
          <w:sz w:val="24"/>
          <w:szCs w:val="24"/>
        </w:rPr>
      </w:pPr>
    </w:p>
    <w:p w14:paraId="05FF187A" w14:textId="77777777" w:rsidR="00622822" w:rsidRPr="00C75AAB" w:rsidRDefault="00622822" w:rsidP="00622822">
      <w:pPr>
        <w:spacing w:before="240" w:line="276" w:lineRule="auto"/>
        <w:jc w:val="center"/>
        <w:rPr>
          <w:rFonts w:asciiTheme="minorHAnsi" w:hAnsiTheme="minorHAnsi" w:cstheme="minorHAnsi"/>
          <w:color w:val="000080"/>
          <w:sz w:val="24"/>
          <w:szCs w:val="24"/>
        </w:rPr>
      </w:pPr>
      <w:r w:rsidRPr="00C75AAB">
        <w:rPr>
          <w:rFonts w:asciiTheme="minorHAnsi" w:hAnsiTheme="minorHAnsi" w:cstheme="minorHAnsi"/>
          <w:b/>
          <w:sz w:val="24"/>
          <w:szCs w:val="24"/>
        </w:rPr>
        <w:t>ANEXO - Formulário de Liquidação de Despesas</w:t>
      </w:r>
    </w:p>
    <w:p w14:paraId="265AAAE2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tbl>
      <w:tblPr>
        <w:tblW w:w="9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4"/>
        <w:gridCol w:w="368"/>
        <w:gridCol w:w="1050"/>
        <w:gridCol w:w="575"/>
        <w:gridCol w:w="960"/>
        <w:gridCol w:w="174"/>
        <w:gridCol w:w="141"/>
        <w:gridCol w:w="1354"/>
        <w:gridCol w:w="1470"/>
      </w:tblGrid>
      <w:tr w:rsidR="00622822" w:rsidRPr="00C75AAB" w14:paraId="37D52E08" w14:textId="77777777" w:rsidTr="00C7392B">
        <w:trPr>
          <w:trHeight w:val="680"/>
        </w:trPr>
        <w:tc>
          <w:tcPr>
            <w:tcW w:w="4382" w:type="dxa"/>
            <w:gridSpan w:val="3"/>
          </w:tcPr>
          <w:p w14:paraId="7F5A5A2B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Processo Administrativo: </w:t>
            </w:r>
          </w:p>
          <w:p w14:paraId="48421B0E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B14D69B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 / _________</w:t>
            </w:r>
          </w:p>
        </w:tc>
        <w:tc>
          <w:tcPr>
            <w:tcW w:w="4674" w:type="dxa"/>
            <w:gridSpan w:val="6"/>
          </w:tcPr>
          <w:p w14:paraId="5979CF13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Número do Protocolo: </w:t>
            </w:r>
          </w:p>
          <w:p w14:paraId="3109F2C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B3A531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 / _________</w:t>
            </w:r>
          </w:p>
        </w:tc>
      </w:tr>
      <w:tr w:rsidR="00622822" w:rsidRPr="00C75AAB" w14:paraId="0CEAB306" w14:textId="77777777" w:rsidTr="00C7392B">
        <w:trPr>
          <w:trHeight w:val="680"/>
        </w:trPr>
        <w:tc>
          <w:tcPr>
            <w:tcW w:w="9056" w:type="dxa"/>
            <w:gridSpan w:val="9"/>
          </w:tcPr>
          <w:p w14:paraId="0853AB99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Assunto:</w:t>
            </w:r>
          </w:p>
        </w:tc>
      </w:tr>
      <w:tr w:rsidR="00622822" w:rsidRPr="00C75AAB" w14:paraId="1B09329E" w14:textId="77777777" w:rsidTr="00C7392B">
        <w:trPr>
          <w:trHeight w:val="680"/>
        </w:trPr>
        <w:tc>
          <w:tcPr>
            <w:tcW w:w="3332" w:type="dxa"/>
            <w:gridSpan w:val="2"/>
          </w:tcPr>
          <w:p w14:paraId="22E2A7A0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Nº da nota de empenho (NE):</w:t>
            </w:r>
          </w:p>
          <w:p w14:paraId="6C4572AC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4D309D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59" w:type="dxa"/>
            <w:gridSpan w:val="4"/>
          </w:tcPr>
          <w:p w14:paraId="0F4EC1E4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emissão da NE:</w:t>
            </w:r>
          </w:p>
        </w:tc>
        <w:tc>
          <w:tcPr>
            <w:tcW w:w="2965" w:type="dxa"/>
            <w:gridSpan w:val="3"/>
          </w:tcPr>
          <w:p w14:paraId="5B710CE9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entrega da NE:</w:t>
            </w:r>
          </w:p>
        </w:tc>
      </w:tr>
      <w:tr w:rsidR="00622822" w:rsidRPr="00C75AAB" w14:paraId="199D572A" w14:textId="77777777" w:rsidTr="00C7392B">
        <w:trPr>
          <w:trHeight w:val="680"/>
        </w:trPr>
        <w:tc>
          <w:tcPr>
            <w:tcW w:w="4957" w:type="dxa"/>
            <w:gridSpan w:val="4"/>
          </w:tcPr>
          <w:p w14:paraId="4AE7A76C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Formalização de instrumento de contrato?</w:t>
            </w:r>
          </w:p>
          <w:p w14:paraId="340EB3C6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138F1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  <w:tc>
          <w:tcPr>
            <w:tcW w:w="4099" w:type="dxa"/>
            <w:gridSpan w:val="5"/>
          </w:tcPr>
          <w:p w14:paraId="10654F3B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Se SIM, informe o nº do contrato:</w:t>
            </w:r>
          </w:p>
        </w:tc>
      </w:tr>
      <w:tr w:rsidR="00622822" w:rsidRPr="00C75AAB" w14:paraId="00A685B4" w14:textId="77777777" w:rsidTr="00C7392B">
        <w:trPr>
          <w:trHeight w:val="680"/>
        </w:trPr>
        <w:tc>
          <w:tcPr>
            <w:tcW w:w="4382" w:type="dxa"/>
            <w:gridSpan w:val="3"/>
          </w:tcPr>
          <w:p w14:paraId="442599BC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Prazo de entrega:</w:t>
            </w:r>
          </w:p>
          <w:p w14:paraId="718792F7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E0D7B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 dias  [  ]úteis   [  ]corridos</w:t>
            </w:r>
          </w:p>
        </w:tc>
        <w:tc>
          <w:tcPr>
            <w:tcW w:w="4674" w:type="dxa"/>
            <w:gridSpan w:val="6"/>
          </w:tcPr>
          <w:p w14:paraId="10F81C5A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Data-limite para entrega sem multa:</w:t>
            </w:r>
          </w:p>
          <w:p w14:paraId="19645521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922A1D0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 / _____ / _________</w:t>
            </w:r>
          </w:p>
        </w:tc>
      </w:tr>
      <w:tr w:rsidR="00622822" w:rsidRPr="00C75AAB" w14:paraId="19145080" w14:textId="77777777" w:rsidTr="00C7392B">
        <w:trPr>
          <w:trHeight w:val="680"/>
        </w:trPr>
        <w:tc>
          <w:tcPr>
            <w:tcW w:w="4382" w:type="dxa"/>
            <w:gridSpan w:val="3"/>
            <w:tcBorders>
              <w:bottom w:val="single" w:sz="4" w:space="0" w:color="auto"/>
            </w:tcBorders>
          </w:tcPr>
          <w:p w14:paraId="0F63F567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entrega:</w:t>
            </w:r>
          </w:p>
          <w:p w14:paraId="08CA2DF0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 / _____ / _________</w:t>
            </w:r>
          </w:p>
        </w:tc>
        <w:tc>
          <w:tcPr>
            <w:tcW w:w="4674" w:type="dxa"/>
            <w:gridSpan w:val="6"/>
          </w:tcPr>
          <w:p w14:paraId="4F511409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 entrega ocorreu na totalidade? </w:t>
            </w:r>
          </w:p>
          <w:p w14:paraId="747A762B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</w:tr>
      <w:tr w:rsidR="00622822" w:rsidRPr="00C75AAB" w14:paraId="7E87748B" w14:textId="77777777" w:rsidTr="00C7392B">
        <w:trPr>
          <w:trHeight w:val="680"/>
        </w:trPr>
        <w:tc>
          <w:tcPr>
            <w:tcW w:w="9056" w:type="dxa"/>
            <w:gridSpan w:val="9"/>
          </w:tcPr>
          <w:p w14:paraId="3B610229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O material/serviço entregue/fornecido está de acordo com o contratado?</w:t>
            </w:r>
          </w:p>
          <w:p w14:paraId="139CB990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</w:tr>
      <w:tr w:rsidR="00622822" w:rsidRPr="00C75AAB" w14:paraId="0679C6FC" w14:textId="77777777" w:rsidTr="00C7392B">
        <w:trPr>
          <w:trHeight w:val="680"/>
        </w:trPr>
        <w:tc>
          <w:tcPr>
            <w:tcW w:w="4382" w:type="dxa"/>
            <w:gridSpan w:val="3"/>
          </w:tcPr>
          <w:p w14:paraId="2D8EF14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 entrega ocorreu dentro do prazo?</w:t>
            </w:r>
          </w:p>
          <w:p w14:paraId="5FCB2980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004053F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  <w:tc>
          <w:tcPr>
            <w:tcW w:w="4674" w:type="dxa"/>
            <w:gridSpan w:val="6"/>
          </w:tcPr>
          <w:p w14:paraId="0549EB07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Se NÃO, quantos dias de atraso? </w:t>
            </w:r>
          </w:p>
          <w:p w14:paraId="7FCA144D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       ______ dias</w:t>
            </w:r>
          </w:p>
        </w:tc>
      </w:tr>
      <w:tr w:rsidR="00622822" w:rsidRPr="00C75AAB" w14:paraId="06D54938" w14:textId="77777777" w:rsidTr="00C7392B">
        <w:trPr>
          <w:trHeight w:val="680"/>
        </w:trPr>
        <w:tc>
          <w:tcPr>
            <w:tcW w:w="6232" w:type="dxa"/>
            <w:gridSpan w:val="7"/>
            <w:tcBorders>
              <w:right w:val="nil"/>
            </w:tcBorders>
          </w:tcPr>
          <w:p w14:paraId="08D37283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Se o material foi entregue em atraso, qual o percentual de multa sobre o valor da Nota Fiscal?</w:t>
            </w:r>
          </w:p>
        </w:tc>
        <w:tc>
          <w:tcPr>
            <w:tcW w:w="2824" w:type="dxa"/>
            <w:gridSpan w:val="2"/>
            <w:tcBorders>
              <w:left w:val="nil"/>
            </w:tcBorders>
          </w:tcPr>
          <w:p w14:paraId="32DCD193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60C0E7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 %</w:t>
            </w:r>
          </w:p>
        </w:tc>
      </w:tr>
      <w:tr w:rsidR="00622822" w:rsidRPr="00C75AAB" w14:paraId="52A1F0CE" w14:textId="77777777" w:rsidTr="00C7392B">
        <w:trPr>
          <w:trHeight w:val="680"/>
        </w:trPr>
        <w:tc>
          <w:tcPr>
            <w:tcW w:w="2964" w:type="dxa"/>
          </w:tcPr>
          <w:p w14:paraId="3F66A104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Nº da nota fiscal (NF):</w:t>
            </w:r>
          </w:p>
        </w:tc>
        <w:tc>
          <w:tcPr>
            <w:tcW w:w="2953" w:type="dxa"/>
            <w:gridSpan w:val="4"/>
          </w:tcPr>
          <w:p w14:paraId="5F3BEEB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Data de emissão da NF:</w:t>
            </w:r>
          </w:p>
        </w:tc>
        <w:tc>
          <w:tcPr>
            <w:tcW w:w="3139" w:type="dxa"/>
            <w:gridSpan w:val="4"/>
          </w:tcPr>
          <w:p w14:paraId="1941E1A3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 NF contém rasuras? </w:t>
            </w:r>
          </w:p>
          <w:p w14:paraId="0F79E70F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</w:tr>
      <w:tr w:rsidR="00622822" w:rsidRPr="00C75AAB" w14:paraId="04F051D7" w14:textId="77777777" w:rsidTr="00C7392B">
        <w:trPr>
          <w:trHeight w:val="680"/>
        </w:trPr>
        <w:tc>
          <w:tcPr>
            <w:tcW w:w="4382" w:type="dxa"/>
            <w:gridSpan w:val="3"/>
          </w:tcPr>
          <w:p w14:paraId="299FFE2E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O valor está conforme contratado? </w:t>
            </w:r>
          </w:p>
          <w:p w14:paraId="79E70166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  <w:tc>
          <w:tcPr>
            <w:tcW w:w="4674" w:type="dxa"/>
            <w:gridSpan w:val="6"/>
          </w:tcPr>
          <w:p w14:paraId="2E2DAC54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O especificado na NF está correto? </w:t>
            </w:r>
          </w:p>
          <w:p w14:paraId="2938D92D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</w:tr>
      <w:tr w:rsidR="00622822" w:rsidRPr="00C75AAB" w14:paraId="6E9C4B7A" w14:textId="77777777" w:rsidTr="00C7392B">
        <w:trPr>
          <w:trHeight w:val="680"/>
        </w:trPr>
        <w:tc>
          <w:tcPr>
            <w:tcW w:w="4382" w:type="dxa"/>
            <w:gridSpan w:val="3"/>
          </w:tcPr>
          <w:p w14:paraId="12806B51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NF emitida no prazo de validade? </w:t>
            </w:r>
          </w:p>
          <w:p w14:paraId="63A1BD7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  ]SIM     [  ]NÃO</w:t>
            </w:r>
          </w:p>
        </w:tc>
        <w:tc>
          <w:tcPr>
            <w:tcW w:w="1535" w:type="dxa"/>
            <w:gridSpan w:val="2"/>
          </w:tcPr>
          <w:p w14:paraId="4EEE8387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Banco: </w:t>
            </w:r>
          </w:p>
          <w:p w14:paraId="2F38B134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F2E598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69" w:type="dxa"/>
            <w:gridSpan w:val="3"/>
          </w:tcPr>
          <w:p w14:paraId="7D5EB98E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Agência:</w:t>
            </w:r>
          </w:p>
        </w:tc>
        <w:tc>
          <w:tcPr>
            <w:tcW w:w="1470" w:type="dxa"/>
          </w:tcPr>
          <w:p w14:paraId="36016569" w14:textId="77777777" w:rsidR="00622822" w:rsidRPr="00C75AAB" w:rsidRDefault="00622822" w:rsidP="00C7392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Conta:</w:t>
            </w:r>
          </w:p>
        </w:tc>
      </w:tr>
    </w:tbl>
    <w:p w14:paraId="7D087B75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49752653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2E4C0A81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363BD43A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89"/>
      </w:tblGrid>
      <w:tr w:rsidR="00622822" w:rsidRPr="00C75AAB" w14:paraId="078FF117" w14:textId="77777777" w:rsidTr="00C7392B">
        <w:tc>
          <w:tcPr>
            <w:tcW w:w="9495" w:type="dxa"/>
            <w:tcBorders>
              <w:bottom w:val="single" w:sz="4" w:space="0" w:color="auto"/>
            </w:tcBorders>
          </w:tcPr>
          <w:p w14:paraId="304974FC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9BF11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Ao </w:t>
            </w:r>
            <w:r w:rsidRPr="00C75AAB">
              <w:rPr>
                <w:rFonts w:asciiTheme="minorHAnsi" w:eastAsia="Century Gothic" w:hAnsiTheme="minorHAnsi" w:cstheme="minorHAnsi"/>
                <w:sz w:val="24"/>
                <w:szCs w:val="24"/>
                <w:highlight w:val="cyan"/>
              </w:rPr>
              <w:t>Coordenador Contábil-Financeiro</w:t>
            </w: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para:</w:t>
            </w:r>
          </w:p>
          <w:p w14:paraId="2FC3A8A6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 ] Pagamento integral da Nota Fiscal</w:t>
            </w:r>
          </w:p>
          <w:p w14:paraId="0029A7FF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[ ] Pagamento com a retenção de ______% a título de eventual penalidade</w:t>
            </w:r>
          </w:p>
          <w:p w14:paraId="591EA43F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color w:val="000080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</w:tr>
      <w:tr w:rsidR="00622822" w:rsidRPr="00C75AAB" w14:paraId="578AFD4B" w14:textId="77777777" w:rsidTr="00C7392B">
        <w:tc>
          <w:tcPr>
            <w:tcW w:w="94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20A5F2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22822" w:rsidRPr="00C75AAB" w14:paraId="6A218F27" w14:textId="77777777" w:rsidTr="00C7392B">
        <w:tc>
          <w:tcPr>
            <w:tcW w:w="9495" w:type="dxa"/>
            <w:tcBorders>
              <w:top w:val="single" w:sz="4" w:space="0" w:color="auto"/>
            </w:tcBorders>
          </w:tcPr>
          <w:p w14:paraId="0A2411EC" w14:textId="77777777" w:rsidR="00622822" w:rsidRPr="00C75AAB" w:rsidRDefault="00622822" w:rsidP="00C7392B">
            <w:pPr>
              <w:spacing w:before="240"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eastAsiaTheme="minorHAnsi" w:hAnsiTheme="minorHAnsi" w:cstheme="minorHAnsi"/>
                <w:color w:val="000000"/>
                <w:sz w:val="24"/>
                <w:szCs w:val="24"/>
                <w:lang w:eastAsia="en-US"/>
              </w:rPr>
              <w:t>Nova Guarita</w:t>
            </w: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 xml:space="preserve"> /MT, ____ /__________________ /________.</w:t>
            </w:r>
          </w:p>
          <w:p w14:paraId="24D03EE3" w14:textId="77777777" w:rsidR="00622822" w:rsidRPr="00C75AAB" w:rsidRDefault="00622822" w:rsidP="00C7392B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094E20" w14:textId="77777777" w:rsidR="00622822" w:rsidRPr="00C75AAB" w:rsidRDefault="00622822" w:rsidP="00C7392B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06FC4A" w14:textId="77777777" w:rsidR="00622822" w:rsidRPr="00C75AAB" w:rsidRDefault="00622822" w:rsidP="00C7392B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__________________________________</w:t>
            </w:r>
          </w:p>
          <w:p w14:paraId="2B09747B" w14:textId="77777777" w:rsidR="00622822" w:rsidRPr="00C75AAB" w:rsidRDefault="00622822" w:rsidP="00C7392B">
            <w:pPr>
              <w:spacing w:before="24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75AAB">
              <w:rPr>
                <w:rFonts w:asciiTheme="minorHAnsi" w:hAnsiTheme="minorHAnsi" w:cstheme="minorHAnsi"/>
                <w:sz w:val="24"/>
                <w:szCs w:val="24"/>
              </w:rPr>
              <w:t>Assinatura e carimbo do fiscal</w:t>
            </w:r>
          </w:p>
          <w:p w14:paraId="24C6651B" w14:textId="77777777" w:rsidR="00622822" w:rsidRPr="00C75AAB" w:rsidRDefault="00622822" w:rsidP="00C7392B">
            <w:pPr>
              <w:spacing w:before="24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47DBCE9" w14:textId="77777777" w:rsidR="00622822" w:rsidRPr="00C75AAB" w:rsidRDefault="00622822" w:rsidP="00622822">
      <w:pPr>
        <w:spacing w:before="240" w:line="276" w:lineRule="auto"/>
        <w:jc w:val="both"/>
        <w:rPr>
          <w:rFonts w:asciiTheme="minorHAnsi" w:hAnsiTheme="minorHAnsi" w:cstheme="minorHAnsi"/>
          <w:color w:val="000080"/>
          <w:sz w:val="24"/>
          <w:szCs w:val="24"/>
        </w:rPr>
      </w:pPr>
    </w:p>
    <w:p w14:paraId="06C50626" w14:textId="77777777" w:rsidR="00622822" w:rsidRPr="00C75AAB" w:rsidRDefault="00622822" w:rsidP="00622822">
      <w:pPr>
        <w:pStyle w:val="SemEspaamento"/>
        <w:jc w:val="both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                                                  </w:t>
      </w:r>
    </w:p>
    <w:p w14:paraId="4F898891" w14:textId="03C16BD7" w:rsidR="00622822" w:rsidRPr="00C75AAB" w:rsidRDefault="00622822" w:rsidP="0062282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O PRESID</w:t>
      </w:r>
      <w:bookmarkStart w:id="0" w:name="_GoBack"/>
      <w:bookmarkEnd w:id="0"/>
      <w:r>
        <w:rPr>
          <w:rFonts w:asciiTheme="minorHAnsi" w:hAnsiTheme="minorHAnsi" w:cstheme="minorHAnsi"/>
          <w:b/>
          <w:bCs/>
          <w:sz w:val="24"/>
          <w:szCs w:val="24"/>
        </w:rPr>
        <w:t>ENTE</w:t>
      </w:r>
      <w:r w:rsidRPr="00C75AAB">
        <w:rPr>
          <w:rFonts w:asciiTheme="minorHAnsi" w:hAnsiTheme="minorHAnsi" w:cstheme="minorHAnsi"/>
          <w:b/>
          <w:bCs/>
          <w:sz w:val="24"/>
          <w:szCs w:val="24"/>
        </w:rPr>
        <w:t>,</w:t>
      </w:r>
    </w:p>
    <w:p w14:paraId="6A48F552" w14:textId="77777777" w:rsidR="00622822" w:rsidRPr="00C75AAB" w:rsidRDefault="00622822" w:rsidP="00622822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0BF8320B" w14:textId="77777777" w:rsidR="00622822" w:rsidRPr="00C75AAB" w:rsidRDefault="00622822" w:rsidP="00622822">
      <w:pPr>
        <w:pStyle w:val="SemEspaamento"/>
        <w:jc w:val="both"/>
        <w:rPr>
          <w:rFonts w:cstheme="minorHAnsi"/>
          <w:sz w:val="24"/>
          <w:szCs w:val="24"/>
        </w:rPr>
      </w:pPr>
    </w:p>
    <w:p w14:paraId="4BA48F03" w14:textId="45462663" w:rsidR="00622822" w:rsidRPr="00C75AAB" w:rsidRDefault="00622822" w:rsidP="00622822">
      <w:pPr>
        <w:pStyle w:val="SemEspaamento"/>
        <w:jc w:val="center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DIVINO PEREIRA GOMES                                              </w:t>
      </w:r>
      <w:r>
        <w:rPr>
          <w:rFonts w:cstheme="minorHAnsi"/>
          <w:sz w:val="24"/>
          <w:szCs w:val="24"/>
        </w:rPr>
        <w:t xml:space="preserve">           </w:t>
      </w:r>
    </w:p>
    <w:p w14:paraId="030F36B7" w14:textId="6F4D896F" w:rsidR="00622822" w:rsidRPr="00C75AAB" w:rsidRDefault="00622822" w:rsidP="00622822">
      <w:pPr>
        <w:pStyle w:val="SemEspaamento"/>
        <w:jc w:val="center"/>
        <w:rPr>
          <w:rFonts w:cstheme="minorHAnsi"/>
          <w:sz w:val="24"/>
          <w:szCs w:val="24"/>
        </w:rPr>
      </w:pPr>
      <w:r w:rsidRPr="00C75AAB">
        <w:rPr>
          <w:rFonts w:cstheme="minorHAnsi"/>
          <w:sz w:val="24"/>
          <w:szCs w:val="24"/>
        </w:rPr>
        <w:t xml:space="preserve">Presidente                                                                   </w:t>
      </w:r>
      <w:r>
        <w:rPr>
          <w:rFonts w:cstheme="minorHAnsi"/>
          <w:sz w:val="24"/>
          <w:szCs w:val="24"/>
        </w:rPr>
        <w:t xml:space="preserve">             </w:t>
      </w:r>
    </w:p>
    <w:p w14:paraId="79B2CF09" w14:textId="77777777" w:rsidR="00622822" w:rsidRPr="00C75AAB" w:rsidRDefault="00622822" w:rsidP="00622822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6D58C1E" w14:textId="77777777" w:rsidR="00622822" w:rsidRPr="00D27D8B" w:rsidRDefault="00622822" w:rsidP="00622822">
      <w:pPr>
        <w:rPr>
          <w:rFonts w:cs="Calibri"/>
          <w:sz w:val="24"/>
          <w:szCs w:val="24"/>
        </w:rPr>
      </w:pPr>
    </w:p>
    <w:p w14:paraId="296D4992" w14:textId="77777777" w:rsidR="00622822" w:rsidRPr="00C75AAB" w:rsidRDefault="00622822" w:rsidP="00622822">
      <w:pPr>
        <w:rPr>
          <w:rFonts w:asciiTheme="minorHAnsi" w:hAnsiTheme="minorHAnsi" w:cstheme="minorHAnsi"/>
          <w:sz w:val="24"/>
          <w:szCs w:val="24"/>
        </w:rPr>
      </w:pPr>
    </w:p>
    <w:p w14:paraId="5ECB5D37" w14:textId="607A2877" w:rsidR="007F5323" w:rsidRPr="000A0BC3" w:rsidRDefault="007F5323" w:rsidP="000A0BC3">
      <w:pPr>
        <w:pStyle w:val="SemEspaamento"/>
        <w:rPr>
          <w:rFonts w:ascii="Calibri" w:hAnsi="Calibri" w:cs="Calibri"/>
          <w:sz w:val="24"/>
          <w:szCs w:val="24"/>
        </w:rPr>
      </w:pPr>
    </w:p>
    <w:sectPr w:rsidR="007F5323" w:rsidRPr="000A0BC3" w:rsidSect="00212DDA">
      <w:headerReference w:type="default" r:id="rId6"/>
      <w:headerReference w:type="first" r:id="rId7"/>
      <w:pgSz w:w="11900" w:h="16838"/>
      <w:pgMar w:top="2835" w:right="1701" w:bottom="1701" w:left="1701" w:header="709" w:footer="567" w:gutter="0"/>
      <w:cols w:space="0" w:equalWidth="0">
        <w:col w:w="8499"/>
      </w:cols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EA960" w14:textId="77777777" w:rsidR="00596CAD" w:rsidRDefault="00596CAD" w:rsidP="00DD68A9">
      <w:r>
        <w:separator/>
      </w:r>
    </w:p>
  </w:endnote>
  <w:endnote w:type="continuationSeparator" w:id="0">
    <w:p w14:paraId="46CAE057" w14:textId="77777777" w:rsidR="00596CAD" w:rsidRDefault="00596CAD" w:rsidP="00DD68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97E2AC" w14:textId="77777777" w:rsidR="00596CAD" w:rsidRDefault="00596CAD" w:rsidP="00DD68A9">
      <w:r>
        <w:separator/>
      </w:r>
    </w:p>
  </w:footnote>
  <w:footnote w:type="continuationSeparator" w:id="0">
    <w:p w14:paraId="3C877CFE" w14:textId="77777777" w:rsidR="00596CAD" w:rsidRDefault="00596CAD" w:rsidP="00DD68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632A1" w14:textId="638F23C4" w:rsidR="00500DB4" w:rsidRPr="00A27F9C" w:rsidRDefault="00596CAD" w:rsidP="00500DB4">
    <w:pPr>
      <w:jc w:val="center"/>
      <w:rPr>
        <w:rFonts w:ascii="Palatino Linotype" w:eastAsia="Century Gothic" w:hAnsi="Palatino Linotype"/>
        <w:b/>
        <w:bCs/>
        <w:sz w:val="32"/>
        <w:szCs w:val="32"/>
      </w:rPr>
    </w:pPr>
  </w:p>
  <w:p w14:paraId="59712E37" w14:textId="77777777" w:rsidR="00E26374" w:rsidRPr="00A27F9C" w:rsidRDefault="00596CAD" w:rsidP="00500DB4">
    <w:pPr>
      <w:pStyle w:val="Cabealho"/>
      <w:rPr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76B065" w14:textId="4D244EBE" w:rsidR="00500DB4" w:rsidRPr="000B7CDF" w:rsidRDefault="00596CAD" w:rsidP="000B7CDF">
    <w:pPr>
      <w:pStyle w:val="Cabealho"/>
      <w:jc w:val="center"/>
      <w:rPr>
        <w:rFonts w:ascii="Palatino Linotype" w:hAnsi="Palatino Linotype"/>
        <w:b/>
        <w:bCs/>
        <w:sz w:val="32"/>
        <w:szCs w:val="32"/>
      </w:rPr>
    </w:pPr>
  </w:p>
  <w:p w14:paraId="0E59EC02" w14:textId="77777777" w:rsidR="00A15FFA" w:rsidRDefault="00596CAD" w:rsidP="00F1475C">
    <w:pPr>
      <w:pStyle w:val="Cabealho"/>
    </w:pPr>
  </w:p>
  <w:p w14:paraId="2ABFCFFC" w14:textId="77777777" w:rsidR="00D54755" w:rsidRPr="00F1475C" w:rsidRDefault="00596CAD" w:rsidP="00F1475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8A9"/>
    <w:rsid w:val="000505F8"/>
    <w:rsid w:val="000A0BC3"/>
    <w:rsid w:val="000D0821"/>
    <w:rsid w:val="00210247"/>
    <w:rsid w:val="00212DDA"/>
    <w:rsid w:val="00382F32"/>
    <w:rsid w:val="00596CAD"/>
    <w:rsid w:val="005A3657"/>
    <w:rsid w:val="00622822"/>
    <w:rsid w:val="007F5323"/>
    <w:rsid w:val="007F5660"/>
    <w:rsid w:val="007F7966"/>
    <w:rsid w:val="008274AD"/>
    <w:rsid w:val="008B66A1"/>
    <w:rsid w:val="008C5099"/>
    <w:rsid w:val="009265BA"/>
    <w:rsid w:val="00A01275"/>
    <w:rsid w:val="00B971B5"/>
    <w:rsid w:val="00CC58F5"/>
    <w:rsid w:val="00CE0B96"/>
    <w:rsid w:val="00DD68A9"/>
    <w:rsid w:val="00E01AC9"/>
    <w:rsid w:val="00E6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4A095"/>
  <w15:chartTrackingRefBased/>
  <w15:docId w15:val="{855A36E3-4F79-4958-B9A3-39D8A92197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68A9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68A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D68A9"/>
    <w:rPr>
      <w:rFonts w:ascii="Calibri" w:eastAsia="Calibri" w:hAnsi="Calibri" w:cs="Arial"/>
      <w:sz w:val="20"/>
      <w:szCs w:val="20"/>
      <w:lang w:eastAsia="pt-BR"/>
    </w:rPr>
  </w:style>
  <w:style w:type="paragraph" w:customStyle="1" w:styleId="aPARGRAFO12pt">
    <w:name w:val="a_PARÁGRAFO_12pt"/>
    <w:basedOn w:val="Normal"/>
    <w:rsid w:val="00DD68A9"/>
    <w:pPr>
      <w:spacing w:before="240"/>
      <w:ind w:firstLine="851"/>
      <w:jc w:val="both"/>
    </w:pPr>
    <w:rPr>
      <w:rFonts w:ascii="Century Gothic" w:eastAsia="Arial Unicode MS" w:hAnsi="Century Gothic" w:cs="Times New Roman"/>
      <w:sz w:val="24"/>
      <w:szCs w:val="24"/>
      <w:lang w:val="x-none"/>
    </w:rPr>
  </w:style>
  <w:style w:type="paragraph" w:styleId="Rodap">
    <w:name w:val="footer"/>
    <w:basedOn w:val="Normal"/>
    <w:link w:val="RodapChar"/>
    <w:uiPriority w:val="99"/>
    <w:unhideWhenUsed/>
    <w:rsid w:val="00DD68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D68A9"/>
    <w:rPr>
      <w:rFonts w:ascii="Calibri" w:eastAsia="Calibri" w:hAnsi="Calibri" w:cs="Arial"/>
      <w:sz w:val="20"/>
      <w:szCs w:val="20"/>
      <w:lang w:eastAsia="pt-BR"/>
    </w:rPr>
  </w:style>
  <w:style w:type="paragraph" w:styleId="SemEspaamento">
    <w:name w:val="No Spacing"/>
    <w:uiPriority w:val="1"/>
    <w:qFormat/>
    <w:rsid w:val="000505F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12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2DDA"/>
    <w:rPr>
      <w:rFonts w:ascii="Segoe UI" w:eastAsia="Calibri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unhideWhenUsed/>
    <w:rsid w:val="007F53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recuoprimeiralinha">
    <w:name w:val="texto_justificado_recuo_primeira_linha"/>
    <w:basedOn w:val="Normal"/>
    <w:rsid w:val="007F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F7966"/>
    <w:rPr>
      <w:b/>
      <w:bCs/>
    </w:rPr>
  </w:style>
  <w:style w:type="paragraph" w:customStyle="1" w:styleId="textojustificado">
    <w:name w:val="texto_justificado"/>
    <w:basedOn w:val="Normal"/>
    <w:rsid w:val="007F796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7F7966"/>
    <w:rPr>
      <w:i/>
      <w:iCs/>
    </w:rPr>
  </w:style>
  <w:style w:type="paragraph" w:customStyle="1" w:styleId="Default">
    <w:name w:val="Default"/>
    <w:rsid w:val="007F796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3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941</Words>
  <Characters>5084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cezar rebuli</dc:creator>
  <cp:keywords/>
  <dc:description/>
  <cp:lastModifiedBy>Kimberly</cp:lastModifiedBy>
  <cp:revision>13</cp:revision>
  <cp:lastPrinted>2023-12-20T16:23:00Z</cp:lastPrinted>
  <dcterms:created xsi:type="dcterms:W3CDTF">2023-02-27T20:47:00Z</dcterms:created>
  <dcterms:modified xsi:type="dcterms:W3CDTF">2023-12-20T16:29:00Z</dcterms:modified>
</cp:coreProperties>
</file>